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0F7" w:rsidRPr="00F918C2" w:rsidRDefault="008F04DB">
      <w:pPr>
        <w:rPr>
          <w:b/>
        </w:rPr>
      </w:pPr>
      <w:r w:rsidRPr="00F918C2">
        <w:rPr>
          <w:b/>
        </w:rPr>
        <w:t>2.3.2.1 BWC Page</w:t>
      </w:r>
    </w:p>
    <w:p w:rsidR="008F04DB" w:rsidRDefault="008F04DB"/>
    <w:p w:rsidR="00F918C2" w:rsidRPr="00F918C2" w:rsidRDefault="00F918C2">
      <w:pPr>
        <w:rPr>
          <w:b/>
        </w:rPr>
      </w:pPr>
      <w:r w:rsidRPr="00F918C2">
        <w:rPr>
          <w:b/>
        </w:rPr>
        <w:t>Ohio BWC Rebate Program</w:t>
      </w:r>
    </w:p>
    <w:p w:rsidR="009A078D" w:rsidRPr="009A078D" w:rsidRDefault="00F918C2" w:rsidP="009A078D">
      <w:pPr>
        <w:rPr>
          <w:color w:val="FF0000"/>
        </w:rPr>
      </w:pPr>
      <w:r>
        <w:t xml:space="preserve">A partnership between the Ohio Bureau of Workers’ Compensation and the Dayton/Miami Valley Safety Council allows the chamber to offer its participating members </w:t>
      </w:r>
      <w:r w:rsidR="009A078D">
        <w:t>a chance</w:t>
      </w:r>
      <w:r>
        <w:t xml:space="preserve"> to save up 4% on their annual BWC premiums. Attending monthly workplace safety education and training meetings and an annual safety conference</w:t>
      </w:r>
      <w:r w:rsidR="009A078D">
        <w:t xml:space="preserve"> as a member of the Dayton/Miami Valley Safety Council</w:t>
      </w:r>
      <w:r>
        <w:t xml:space="preserve">, as well as maintaining a flat or decreasing claim record with the BWC </w:t>
      </w:r>
      <w:r w:rsidR="009A078D">
        <w:t>makes your business eligible for the rebate.</w:t>
      </w:r>
      <w:r>
        <w:br/>
      </w:r>
      <w:r>
        <w:br/>
      </w:r>
      <w:r w:rsidR="009A078D">
        <w:t xml:space="preserve">View your business’s BWC Rebate Program Status for July 1, 2016 – June 30, 2017 </w:t>
      </w:r>
      <w:r w:rsidR="009A078D" w:rsidRPr="009A078D">
        <w:rPr>
          <w:color w:val="FF0000"/>
        </w:rPr>
        <w:t xml:space="preserve">(Link to Status </w:t>
      </w:r>
      <w:r w:rsidR="006F2E78">
        <w:rPr>
          <w:color w:val="FF0000"/>
        </w:rPr>
        <w:t>Excel Spreadsheet</w:t>
      </w:r>
      <w:bookmarkStart w:id="0" w:name="_GoBack"/>
      <w:bookmarkEnd w:id="0"/>
      <w:r w:rsidR="009A078D" w:rsidRPr="009A078D">
        <w:rPr>
          <w:color w:val="FF0000"/>
        </w:rPr>
        <w:t>)</w:t>
      </w:r>
    </w:p>
    <w:p w:rsidR="00F918C2" w:rsidRPr="009A078D" w:rsidRDefault="009A078D">
      <w:pPr>
        <w:rPr>
          <w:b/>
        </w:rPr>
      </w:pPr>
      <w:r w:rsidRPr="009A078D">
        <w:rPr>
          <w:b/>
        </w:rPr>
        <w:t>Eligibility Requirements</w:t>
      </w:r>
    </w:p>
    <w:p w:rsidR="009A078D" w:rsidRDefault="009A078D">
      <w:r>
        <w:t>In order to be eligible for the BWC Rebate Program and the savings it has to offer for this fiscal year, you must meet the following requirements:</w:t>
      </w:r>
    </w:p>
    <w:p w:rsidR="009A078D" w:rsidRDefault="009A078D" w:rsidP="009A078D">
      <w:pPr>
        <w:pStyle w:val="ListParagraph"/>
        <w:numPr>
          <w:ilvl w:val="0"/>
          <w:numId w:val="1"/>
        </w:numPr>
      </w:pPr>
      <w:r>
        <w:t>Your company must become a member of the Dayton/Miami Valley Safety Council by July 31, 2017.</w:t>
      </w:r>
    </w:p>
    <w:p w:rsidR="009A078D" w:rsidRDefault="009A078D" w:rsidP="009A078D">
      <w:pPr>
        <w:pStyle w:val="ListParagraph"/>
        <w:numPr>
          <w:ilvl w:val="0"/>
          <w:numId w:val="1"/>
        </w:numPr>
      </w:pPr>
      <w:r>
        <w:t>Your company must send a representative to a minimum of ten (10) meetings or events hosted by the Dayton/Miami Valley Safety Council. Eight (8) of these MUST be attended through the Safety Council, two (2) credits can be obtained through external trainings (excluding online), between July 1, 2017 and June 30, 2018.</w:t>
      </w:r>
    </w:p>
    <w:p w:rsidR="009A078D" w:rsidRDefault="009A078D" w:rsidP="009A078D">
      <w:pPr>
        <w:pStyle w:val="ListParagraph"/>
        <w:numPr>
          <w:ilvl w:val="0"/>
          <w:numId w:val="1"/>
        </w:numPr>
      </w:pPr>
      <w:r>
        <w:t>Your company’s highest ranking authority, typically the CEO, must attend any one (1) Safety Council sponsored meeting or function between July 1, 2017 and June 30, 2018.</w:t>
      </w:r>
    </w:p>
    <w:p w:rsidR="009A078D" w:rsidRDefault="009A078D" w:rsidP="009A078D">
      <w:pPr>
        <w:pStyle w:val="ListParagraph"/>
        <w:numPr>
          <w:ilvl w:val="0"/>
          <w:numId w:val="1"/>
        </w:numPr>
      </w:pPr>
      <w:r>
        <w:t>Your company must submit semi-annual reports for the 2017 calendar year.</w:t>
      </w:r>
    </w:p>
    <w:p w:rsidR="009A078D" w:rsidRDefault="009A078D" w:rsidP="009A078D"/>
    <w:tbl>
      <w:tblPr>
        <w:tblStyle w:val="TableGrid"/>
        <w:tblW w:w="0" w:type="auto"/>
        <w:tblLook w:val="04A0" w:firstRow="1" w:lastRow="0" w:firstColumn="1" w:lastColumn="0" w:noHBand="0" w:noVBand="1"/>
      </w:tblPr>
      <w:tblGrid>
        <w:gridCol w:w="4675"/>
        <w:gridCol w:w="4675"/>
      </w:tblGrid>
      <w:tr w:rsidR="009A078D" w:rsidTr="009A078D">
        <w:tc>
          <w:tcPr>
            <w:tcW w:w="4675" w:type="dxa"/>
            <w:tcBorders>
              <w:top w:val="nil"/>
              <w:left w:val="nil"/>
              <w:bottom w:val="nil"/>
              <w:right w:val="nil"/>
            </w:tcBorders>
          </w:tcPr>
          <w:p w:rsidR="009A078D" w:rsidRDefault="009A078D" w:rsidP="009A078D">
            <w:pPr>
              <w:rPr>
                <w:b/>
              </w:rPr>
            </w:pPr>
            <w:r w:rsidRPr="009A078D">
              <w:rPr>
                <w:b/>
              </w:rPr>
              <w:t xml:space="preserve">For </w:t>
            </w:r>
            <w:r w:rsidRPr="009A078D">
              <w:rPr>
                <w:b/>
                <w:u w:val="single"/>
              </w:rPr>
              <w:t>Group Experience</w:t>
            </w:r>
            <w:r w:rsidRPr="009A078D">
              <w:rPr>
                <w:b/>
              </w:rPr>
              <w:t xml:space="preserve"> rated companies:</w:t>
            </w:r>
          </w:p>
          <w:p w:rsidR="009A078D" w:rsidRDefault="009A078D" w:rsidP="009A078D">
            <w:pPr>
              <w:rPr>
                <w:b/>
              </w:rPr>
            </w:pPr>
          </w:p>
          <w:p w:rsidR="009A078D" w:rsidRPr="009A078D" w:rsidRDefault="009A078D" w:rsidP="009A078D">
            <w:pPr>
              <w:rPr>
                <w:b/>
              </w:rPr>
            </w:pPr>
            <w:r>
              <w:t>Group experience rated program employers who meet program eligibility requirements can earn a 2% performance bonus rebate. To earn this performance bonus, these employers must reduce either the severity or frequency of injuries in their workplace by 10% or maintain both at zero (0). They will not be eligible for the 2% participation portion.</w:t>
            </w:r>
          </w:p>
        </w:tc>
        <w:tc>
          <w:tcPr>
            <w:tcW w:w="4675" w:type="dxa"/>
            <w:tcBorders>
              <w:top w:val="nil"/>
              <w:left w:val="nil"/>
              <w:bottom w:val="nil"/>
              <w:right w:val="nil"/>
            </w:tcBorders>
          </w:tcPr>
          <w:p w:rsidR="009A078D" w:rsidRDefault="009A078D" w:rsidP="009A078D">
            <w:pPr>
              <w:rPr>
                <w:b/>
              </w:rPr>
            </w:pPr>
            <w:r w:rsidRPr="009A078D">
              <w:rPr>
                <w:b/>
              </w:rPr>
              <w:t xml:space="preserve">For </w:t>
            </w:r>
            <w:r w:rsidRPr="009A078D">
              <w:rPr>
                <w:b/>
                <w:u w:val="single"/>
              </w:rPr>
              <w:t>Group Retrospective</w:t>
            </w:r>
            <w:r w:rsidRPr="009A078D">
              <w:rPr>
                <w:b/>
              </w:rPr>
              <w:t xml:space="preserve"> companies:</w:t>
            </w:r>
          </w:p>
          <w:p w:rsidR="00E024E3" w:rsidRPr="00E024E3" w:rsidRDefault="00E024E3" w:rsidP="00E024E3">
            <w:pPr>
              <w:pStyle w:val="NormalWeb"/>
              <w:rPr>
                <w:rFonts w:ascii="Calibri" w:hAnsi="Calibri" w:cs="Calibri"/>
                <w:sz w:val="22"/>
              </w:rPr>
            </w:pPr>
            <w:r w:rsidRPr="00E024E3">
              <w:rPr>
                <w:rFonts w:ascii="Calibri" w:hAnsi="Calibri" w:cs="Calibri"/>
                <w:sz w:val="22"/>
              </w:rPr>
              <w:t>If all rebate eligibility requirements are met, employers will earn the initial 2% participation rebate. They will not be eligible for the 2% performance bonus.</w:t>
            </w:r>
            <w:r>
              <w:rPr>
                <w:rFonts w:ascii="Calibri" w:hAnsi="Calibri" w:cs="Calibri"/>
                <w:sz w:val="22"/>
              </w:rPr>
              <w:t xml:space="preserve"> </w:t>
            </w:r>
            <w:r w:rsidRPr="00E024E3">
              <w:rPr>
                <w:rFonts w:ascii="Calibri" w:hAnsi="Calibri" w:cs="Calibri"/>
                <w:sz w:val="22"/>
              </w:rPr>
              <w:t>To begin earning the 10 credits toward the Sa</w:t>
            </w:r>
            <w:r>
              <w:rPr>
                <w:rFonts w:ascii="Calibri" w:hAnsi="Calibri" w:cs="Calibri"/>
                <w:sz w:val="22"/>
              </w:rPr>
              <w:t>fety Council Rebate Program, </w:t>
            </w:r>
            <w:r w:rsidRPr="00E024E3">
              <w:rPr>
                <w:rFonts w:ascii="Calibri" w:hAnsi="Calibri" w:cs="Calibri"/>
                <w:sz w:val="22"/>
              </w:rPr>
              <w:t xml:space="preserve">register for the 10 training programs of </w:t>
            </w:r>
            <w:r>
              <w:rPr>
                <w:rFonts w:ascii="Calibri" w:hAnsi="Calibri" w:cs="Calibri"/>
                <w:sz w:val="22"/>
              </w:rPr>
              <w:t xml:space="preserve">your choice here. </w:t>
            </w:r>
            <w:r w:rsidRPr="00E024E3">
              <w:rPr>
                <w:rFonts w:ascii="Calibri" w:hAnsi="Calibri" w:cs="Calibri"/>
                <w:color w:val="FF0000"/>
                <w:sz w:val="22"/>
              </w:rPr>
              <w:t>(link to Safety Council Calendar – database page)</w:t>
            </w:r>
          </w:p>
          <w:p w:rsidR="00E024E3" w:rsidRPr="009A078D" w:rsidRDefault="00E024E3" w:rsidP="009A078D">
            <w:pPr>
              <w:rPr>
                <w:b/>
              </w:rPr>
            </w:pPr>
          </w:p>
        </w:tc>
      </w:tr>
    </w:tbl>
    <w:p w:rsidR="009A078D" w:rsidRDefault="00E024E3" w:rsidP="009A078D">
      <w:pPr>
        <w:rPr>
          <w:b/>
        </w:rPr>
      </w:pPr>
      <w:r w:rsidRPr="00E024E3">
        <w:rPr>
          <w:b/>
        </w:rPr>
        <w:t>Forms needed to enroll in the BWC Rebate Program</w:t>
      </w:r>
    </w:p>
    <w:p w:rsidR="00E024E3" w:rsidRDefault="00E024E3" w:rsidP="009A078D">
      <w:pPr>
        <w:rPr>
          <w:color w:val="FF0000"/>
        </w:rPr>
      </w:pPr>
      <w:r w:rsidRPr="00E024E3">
        <w:t>Dayton/Miami Valley Safety Council membership application</w:t>
      </w:r>
      <w:r>
        <w:t xml:space="preserve"> </w:t>
      </w:r>
      <w:r w:rsidR="0037722A">
        <w:rPr>
          <w:color w:val="FF0000"/>
        </w:rPr>
        <w:t>(database page</w:t>
      </w:r>
      <w:r w:rsidRPr="00E024E3">
        <w:rPr>
          <w:color w:val="FF0000"/>
        </w:rPr>
        <w:t>)</w:t>
      </w:r>
    </w:p>
    <w:p w:rsidR="00E024E3" w:rsidRDefault="00E024E3" w:rsidP="009A078D">
      <w:pPr>
        <w:rPr>
          <w:color w:val="FF0000"/>
        </w:rPr>
      </w:pPr>
      <w:r w:rsidRPr="00E024E3">
        <w:t>FY18 New Enrollment form for 2+2% rebate</w:t>
      </w:r>
      <w:r>
        <w:t xml:space="preserve"> </w:t>
      </w:r>
      <w:r w:rsidRPr="00E024E3">
        <w:rPr>
          <w:color w:val="FF0000"/>
        </w:rPr>
        <w:t>(PDF)</w:t>
      </w:r>
    </w:p>
    <w:p w:rsidR="00E024E3" w:rsidRPr="00E024E3" w:rsidRDefault="00E024E3" w:rsidP="009A078D">
      <w:r>
        <w:lastRenderedPageBreak/>
        <w:t xml:space="preserve">Semi-Annual Report </w:t>
      </w:r>
      <w:r w:rsidRPr="00E024E3">
        <w:rPr>
          <w:color w:val="FF0000"/>
        </w:rPr>
        <w:t>(PDF)</w:t>
      </w:r>
    </w:p>
    <w:sectPr w:rsidR="00E024E3" w:rsidRPr="00E02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690A6F"/>
    <w:multiLevelType w:val="hybridMultilevel"/>
    <w:tmpl w:val="E46A4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B"/>
    <w:rsid w:val="0037722A"/>
    <w:rsid w:val="006930F7"/>
    <w:rsid w:val="006F2E78"/>
    <w:rsid w:val="008F04DB"/>
    <w:rsid w:val="009A078D"/>
    <w:rsid w:val="00E024E3"/>
    <w:rsid w:val="00F91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92F72-AC3F-4B22-B0A0-A5178CA1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78D"/>
    <w:pPr>
      <w:ind w:left="720"/>
      <w:contextualSpacing/>
    </w:pPr>
  </w:style>
  <w:style w:type="table" w:styleId="TableGrid">
    <w:name w:val="Table Grid"/>
    <w:basedOn w:val="TableNormal"/>
    <w:uiPriority w:val="39"/>
    <w:rsid w:val="009A0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24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31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Allen</dc:creator>
  <cp:keywords/>
  <dc:description/>
  <cp:lastModifiedBy>Holly Allen</cp:lastModifiedBy>
  <cp:revision>4</cp:revision>
  <dcterms:created xsi:type="dcterms:W3CDTF">2017-07-18T13:32:00Z</dcterms:created>
  <dcterms:modified xsi:type="dcterms:W3CDTF">2017-07-18T14:16:00Z</dcterms:modified>
</cp:coreProperties>
</file>